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4" w:rsidRPr="007E5185" w:rsidRDefault="007A3BD4" w:rsidP="00FD5C8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E5185">
        <w:rPr>
          <w:rFonts w:asciiTheme="minorHAnsi" w:hAnsiTheme="minorHAnsi" w:cstheme="minorHAnsi"/>
          <w:b/>
          <w:sz w:val="32"/>
          <w:szCs w:val="32"/>
        </w:rPr>
        <w:t xml:space="preserve">EDITAL DE SELEÇÃO PÚBLICA Nº </w:t>
      </w:r>
      <w:r w:rsidR="004B45C2">
        <w:rPr>
          <w:rFonts w:asciiTheme="minorHAnsi" w:hAnsiTheme="minorHAnsi" w:cstheme="minorHAnsi"/>
          <w:b/>
          <w:sz w:val="32"/>
          <w:szCs w:val="32"/>
        </w:rPr>
        <w:t>0</w:t>
      </w:r>
      <w:r w:rsidR="00597960">
        <w:rPr>
          <w:rFonts w:asciiTheme="minorHAnsi" w:hAnsiTheme="minorHAnsi" w:cstheme="minorHAnsi"/>
          <w:b/>
          <w:sz w:val="32"/>
          <w:szCs w:val="32"/>
        </w:rPr>
        <w:t>2</w:t>
      </w:r>
      <w:r w:rsidRPr="007E5185">
        <w:rPr>
          <w:rFonts w:asciiTheme="minorHAnsi" w:hAnsiTheme="minorHAnsi" w:cstheme="minorHAnsi"/>
          <w:b/>
          <w:sz w:val="32"/>
          <w:szCs w:val="32"/>
        </w:rPr>
        <w:t>/20</w:t>
      </w:r>
      <w:r w:rsidR="00E27BC8" w:rsidRPr="007E5185">
        <w:rPr>
          <w:rFonts w:asciiTheme="minorHAnsi" w:hAnsiTheme="minorHAnsi" w:cstheme="minorHAnsi"/>
          <w:b/>
          <w:sz w:val="32"/>
          <w:szCs w:val="32"/>
        </w:rPr>
        <w:t>2</w:t>
      </w:r>
      <w:r w:rsidR="00597960">
        <w:rPr>
          <w:rFonts w:asciiTheme="minorHAnsi" w:hAnsiTheme="minorHAnsi" w:cstheme="minorHAnsi"/>
          <w:b/>
          <w:sz w:val="32"/>
          <w:szCs w:val="32"/>
        </w:rPr>
        <w:t>4</w:t>
      </w:r>
    </w:p>
    <w:p w:rsidR="007A3BD4" w:rsidRPr="007E5185" w:rsidRDefault="007A3BD4" w:rsidP="004F497D">
      <w:pPr>
        <w:spacing w:before="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E5185">
        <w:rPr>
          <w:rFonts w:asciiTheme="minorHAnsi" w:hAnsiTheme="minorHAnsi" w:cstheme="minorHAnsi"/>
          <w:b/>
          <w:sz w:val="32"/>
          <w:szCs w:val="32"/>
        </w:rPr>
        <w:t>ANEXO I</w:t>
      </w:r>
    </w:p>
    <w:p w:rsidR="00BC1F92" w:rsidRDefault="00BC1F92" w:rsidP="00904943">
      <w:pPr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A3BD4" w:rsidRPr="007E5185" w:rsidRDefault="007A3BD4" w:rsidP="00904943">
      <w:pPr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E5185">
        <w:rPr>
          <w:rFonts w:asciiTheme="minorHAnsi" w:hAnsiTheme="minorHAnsi" w:cstheme="minorHAnsi"/>
          <w:b/>
          <w:sz w:val="24"/>
          <w:szCs w:val="24"/>
        </w:rPr>
        <w:t>PROCEDIMENTO PARA JULGAMENTO DA DOCUMENTAÇÃO E CLASSIFICAÇÃO DOS INTERESSADOS</w:t>
      </w:r>
    </w:p>
    <w:p w:rsidR="00107E6B" w:rsidRDefault="00107E6B" w:rsidP="00904943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3BD4" w:rsidRDefault="007A3BD4" w:rsidP="00C2548B">
      <w:pPr>
        <w:pStyle w:val="PargrafodaLista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C2548B">
        <w:rPr>
          <w:rFonts w:asciiTheme="minorHAnsi" w:hAnsiTheme="minorHAnsi" w:cstheme="minorHAnsi"/>
          <w:sz w:val="24"/>
          <w:szCs w:val="24"/>
        </w:rPr>
        <w:t>O processo de seleção para a concessão da Bolsa Atleta será realizado em três fases, sendo:</w:t>
      </w:r>
    </w:p>
    <w:p w:rsidR="00B700E5" w:rsidRDefault="00B700E5" w:rsidP="00C2548B">
      <w:pPr>
        <w:pStyle w:val="PargrafodaLista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:rsidR="00B700E5" w:rsidRDefault="00B700E5" w:rsidP="00B700E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  <w:r w:rsidRPr="00B700E5">
        <w:rPr>
          <w:rFonts w:asciiTheme="minorHAnsi" w:hAnsiTheme="minorHAnsi" w:cstheme="minorHAnsi"/>
          <w:b/>
          <w:sz w:val="24"/>
          <w:szCs w:val="24"/>
        </w:rPr>
        <w:t>1ª Fase – Cadastro</w:t>
      </w:r>
      <w:r>
        <w:rPr>
          <w:rFonts w:asciiTheme="minorHAnsi" w:hAnsiTheme="minorHAnsi" w:cstheme="minorHAnsi"/>
          <w:b/>
          <w:sz w:val="24"/>
          <w:szCs w:val="24"/>
        </w:rPr>
        <w:t xml:space="preserve"> online</w:t>
      </w:r>
      <w:r w:rsidRPr="00B700E5">
        <w:rPr>
          <w:rFonts w:asciiTheme="minorHAnsi" w:hAnsiTheme="minorHAnsi" w:cstheme="minorHAnsi"/>
          <w:b/>
          <w:sz w:val="24"/>
          <w:szCs w:val="24"/>
        </w:rPr>
        <w:t>:</w:t>
      </w:r>
      <w:r w:rsidRPr="00B700E5">
        <w:rPr>
          <w:rFonts w:asciiTheme="minorHAnsi" w:hAnsiTheme="minorHAnsi" w:cstheme="minorHAnsi"/>
          <w:sz w:val="24"/>
          <w:szCs w:val="24"/>
        </w:rPr>
        <w:t xml:space="preserve"> o candidato deverá se cadastrar, preenchendo o formulário online de inscrição disponível no endereço eletrônico: </w:t>
      </w:r>
      <w:hyperlink r:id="rId9" w:history="1">
        <w:r w:rsidRPr="00B700E5">
          <w:rPr>
            <w:rStyle w:val="Hyperlink"/>
            <w:rFonts w:asciiTheme="minorHAnsi" w:hAnsiTheme="minorHAnsi" w:cstheme="minorHAnsi"/>
            <w:sz w:val="24"/>
            <w:szCs w:val="24"/>
          </w:rPr>
          <w:t>https://www.gaspar.sc.gov.br/fmel/bolsa-tecnico-e-bolsa-atleta/inscricao-para-bolsa-tecnico-e-auxiliar-tecnico/</w:t>
        </w:r>
      </w:hyperlink>
      <w:r w:rsidRPr="00B700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00E5" w:rsidRPr="00B700E5" w:rsidRDefault="00B700E5" w:rsidP="00B700E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B700E5" w:rsidRDefault="00B700E5" w:rsidP="00B700E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  <w:r w:rsidRPr="00B700E5">
        <w:rPr>
          <w:rFonts w:asciiTheme="minorHAnsi" w:hAnsiTheme="minorHAnsi" w:cstheme="minorHAnsi"/>
          <w:b/>
          <w:sz w:val="24"/>
          <w:szCs w:val="24"/>
        </w:rPr>
        <w:t xml:space="preserve">2ª fase - Análise de Mérito: </w:t>
      </w:r>
      <w:r w:rsidRPr="00B700E5">
        <w:rPr>
          <w:rFonts w:asciiTheme="minorHAnsi" w:hAnsiTheme="minorHAnsi" w:cstheme="minorHAnsi"/>
          <w:sz w:val="24"/>
          <w:szCs w:val="24"/>
        </w:rPr>
        <w:t>A Comissão Especial do Programa Bolsa Atleta e Bolsa Técnico analisará as informações apresentadas pelos inscritos, através do formulário online, dentro dos critérios estabelecidos no edital e em consonância com os objetivos da Fundação Municipal de Esportes e Lazer, atribuindo-lhes classificação preliminar em conformidade com o desempenho técnico, currículo esportivo e demais critérios estabelecidos.</w:t>
      </w:r>
    </w:p>
    <w:p w:rsidR="00B700E5" w:rsidRPr="007E5185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Esta análise se dará em duas fases, conforme adiante exposto.</w:t>
      </w:r>
    </w:p>
    <w:p w:rsidR="00B700E5" w:rsidRPr="00C2548B" w:rsidRDefault="00B700E5" w:rsidP="00B700E5">
      <w:pPr>
        <w:pStyle w:val="PargrafodaLista"/>
        <w:numPr>
          <w:ilvl w:val="2"/>
          <w:numId w:val="31"/>
        </w:numPr>
        <w:spacing w:before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2548B">
        <w:rPr>
          <w:rFonts w:asciiTheme="minorHAnsi" w:hAnsiTheme="minorHAnsi" w:cstheme="minorHAnsi"/>
          <w:b/>
          <w:sz w:val="24"/>
          <w:szCs w:val="24"/>
        </w:rPr>
        <w:t>Da fase eliminatória</w:t>
      </w:r>
    </w:p>
    <w:p w:rsidR="00B700E5" w:rsidRPr="007E5185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Nesta fase será verificado se o interessado </w:t>
      </w:r>
      <w:r w:rsidR="004650AC">
        <w:rPr>
          <w:rFonts w:asciiTheme="minorHAnsi" w:hAnsiTheme="minorHAnsi" w:cstheme="minorHAnsi"/>
          <w:sz w:val="24"/>
          <w:szCs w:val="24"/>
        </w:rPr>
        <w:t>se as informações apresentadas preenchem os requisitos e critérios exigidos</w:t>
      </w:r>
      <w:r w:rsidRPr="007E5185">
        <w:rPr>
          <w:rFonts w:asciiTheme="minorHAnsi" w:hAnsiTheme="minorHAnsi" w:cstheme="minorHAnsi"/>
          <w:sz w:val="24"/>
          <w:szCs w:val="24"/>
        </w:rPr>
        <w:t xml:space="preserve"> no edital, conforme cada caso, sendo eliminado do processo o interessado que deixar de apresentar </w:t>
      </w:r>
      <w:r w:rsidR="004650AC" w:rsidRPr="007E5185">
        <w:rPr>
          <w:rFonts w:asciiTheme="minorHAnsi" w:hAnsiTheme="minorHAnsi" w:cstheme="minorHAnsi"/>
          <w:sz w:val="24"/>
          <w:szCs w:val="24"/>
        </w:rPr>
        <w:t xml:space="preserve">quaisquer </w:t>
      </w:r>
      <w:r w:rsidR="004650AC">
        <w:rPr>
          <w:rFonts w:asciiTheme="minorHAnsi" w:hAnsiTheme="minorHAnsi" w:cstheme="minorHAnsi"/>
          <w:sz w:val="24"/>
          <w:szCs w:val="24"/>
        </w:rPr>
        <w:t>informações</w:t>
      </w:r>
      <w:r w:rsidR="004650AC" w:rsidRPr="007E5185">
        <w:rPr>
          <w:rFonts w:asciiTheme="minorHAnsi" w:hAnsiTheme="minorHAnsi" w:cstheme="minorHAnsi"/>
          <w:sz w:val="24"/>
          <w:szCs w:val="24"/>
        </w:rPr>
        <w:t xml:space="preserve"> consideradas obrigatórios</w:t>
      </w:r>
      <w:r w:rsidRPr="007E5185">
        <w:rPr>
          <w:rFonts w:asciiTheme="minorHAnsi" w:hAnsiTheme="minorHAnsi" w:cstheme="minorHAnsi"/>
          <w:sz w:val="24"/>
          <w:szCs w:val="24"/>
        </w:rPr>
        <w:t xml:space="preserve"> pelo Edital.</w:t>
      </w:r>
    </w:p>
    <w:p w:rsidR="00B700E5" w:rsidRPr="00C2548B" w:rsidRDefault="00B700E5" w:rsidP="00B700E5">
      <w:pPr>
        <w:pStyle w:val="PargrafodaLista"/>
        <w:numPr>
          <w:ilvl w:val="2"/>
          <w:numId w:val="31"/>
        </w:numPr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C2548B">
        <w:rPr>
          <w:rFonts w:asciiTheme="minorHAnsi" w:hAnsiTheme="minorHAnsi" w:cstheme="minorHAnsi"/>
          <w:b/>
          <w:sz w:val="24"/>
          <w:szCs w:val="24"/>
        </w:rPr>
        <w:t>Da fase Classificatória</w:t>
      </w:r>
    </w:p>
    <w:p w:rsidR="00B700E5" w:rsidRPr="007E5185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Finalizada a fase eliminatória, a Comissão Especi</w:t>
      </w:r>
      <w:r w:rsidR="004650AC">
        <w:rPr>
          <w:rFonts w:asciiTheme="minorHAnsi" w:hAnsiTheme="minorHAnsi" w:cstheme="minorHAnsi"/>
          <w:sz w:val="24"/>
          <w:szCs w:val="24"/>
        </w:rPr>
        <w:t xml:space="preserve">al passará a analisar as informações e </w:t>
      </w:r>
      <w:r w:rsidRPr="007E5185">
        <w:rPr>
          <w:rFonts w:asciiTheme="minorHAnsi" w:hAnsiTheme="minorHAnsi" w:cstheme="minorHAnsi"/>
          <w:sz w:val="24"/>
          <w:szCs w:val="24"/>
        </w:rPr>
        <w:t xml:space="preserve">documentação para avaliação da pontuação dos interessados que tiveram sua </w:t>
      </w:r>
      <w:r w:rsidR="004650AC">
        <w:rPr>
          <w:rFonts w:asciiTheme="minorHAnsi" w:hAnsiTheme="minorHAnsi" w:cstheme="minorHAnsi"/>
          <w:sz w:val="24"/>
          <w:szCs w:val="24"/>
        </w:rPr>
        <w:t>inscrição deferida</w:t>
      </w:r>
      <w:r w:rsidRPr="007E5185">
        <w:rPr>
          <w:rFonts w:asciiTheme="minorHAnsi" w:hAnsiTheme="minorHAnsi" w:cstheme="minorHAnsi"/>
          <w:sz w:val="24"/>
          <w:szCs w:val="24"/>
        </w:rPr>
        <w:t>.</w:t>
      </w:r>
    </w:p>
    <w:p w:rsidR="00B700E5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Os interessados serão classificados em ordem decrescente sendo a pontuação e nota aferida conforme os critérios a</w:t>
      </w:r>
      <w:r>
        <w:rPr>
          <w:rFonts w:asciiTheme="minorHAnsi" w:hAnsiTheme="minorHAnsi" w:cstheme="minorHAnsi"/>
          <w:sz w:val="24"/>
          <w:szCs w:val="24"/>
        </w:rPr>
        <w:t xml:space="preserve"> seguir</w:t>
      </w:r>
      <w:r w:rsidRPr="007E5185">
        <w:rPr>
          <w:rFonts w:asciiTheme="minorHAnsi" w:hAnsiTheme="minorHAnsi" w:cstheme="minorHAnsi"/>
          <w:sz w:val="24"/>
          <w:szCs w:val="24"/>
        </w:rPr>
        <w:t>:</w:t>
      </w:r>
    </w:p>
    <w:p w:rsidR="00B700E5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00E5" w:rsidRPr="00597960" w:rsidRDefault="00B700E5" w:rsidP="00B700E5">
      <w:pPr>
        <w:pStyle w:val="PargrafodaLista"/>
        <w:numPr>
          <w:ilvl w:val="0"/>
          <w:numId w:val="26"/>
        </w:numPr>
        <w:spacing w:before="0" w:after="120"/>
        <w:ind w:left="227" w:hanging="227"/>
        <w:contextualSpacing w:val="0"/>
        <w:rPr>
          <w:rFonts w:asciiTheme="minorHAnsi" w:hAnsiTheme="minorHAnsi" w:cstheme="minorHAnsi"/>
          <w:sz w:val="24"/>
        </w:rPr>
      </w:pPr>
      <w:r w:rsidRPr="00263591">
        <w:rPr>
          <w:b/>
        </w:rPr>
        <w:t xml:space="preserve">SERÁ CONSIDERADO ATÉ </w:t>
      </w:r>
      <w:r w:rsidRPr="00282FC0">
        <w:rPr>
          <w:b/>
          <w:u w:val="single"/>
        </w:rPr>
        <w:t>2 (</w:t>
      </w:r>
      <w:r w:rsidR="004552A3" w:rsidRPr="00282FC0">
        <w:rPr>
          <w:b/>
          <w:u w:val="single"/>
        </w:rPr>
        <w:t>DOIS</w:t>
      </w:r>
      <w:r w:rsidRPr="00282FC0">
        <w:rPr>
          <w:b/>
          <w:u w:val="single"/>
        </w:rPr>
        <w:t>) MELHORES</w:t>
      </w:r>
      <w:r w:rsidRPr="00263591">
        <w:rPr>
          <w:b/>
        </w:rPr>
        <w:t xml:space="preserve"> RESULTADOS NOS EVENTOS FESPORTE,</w:t>
      </w:r>
      <w:r>
        <w:t xml:space="preserve"> conforme tabela abaixo, no ano anterior aquele que estiver sido pleiteado a concessão da bola (2023).</w:t>
      </w:r>
    </w:p>
    <w:p w:rsidR="00B700E5" w:rsidRPr="00DA4860" w:rsidRDefault="00B700E5" w:rsidP="00B700E5">
      <w:pPr>
        <w:pStyle w:val="PargrafodaLista"/>
        <w:spacing w:before="0" w:after="120"/>
        <w:ind w:left="227"/>
        <w:contextualSpacing w:val="0"/>
        <w:rPr>
          <w:rFonts w:asciiTheme="minorHAnsi" w:hAnsiTheme="minorHAnsi" w:cstheme="minorHAnsi"/>
          <w:sz w:val="24"/>
        </w:rPr>
      </w:pP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678"/>
        <w:gridCol w:w="678"/>
        <w:gridCol w:w="678"/>
        <w:gridCol w:w="678"/>
        <w:gridCol w:w="670"/>
        <w:gridCol w:w="678"/>
        <w:gridCol w:w="678"/>
        <w:gridCol w:w="678"/>
        <w:gridCol w:w="678"/>
        <w:gridCol w:w="755"/>
      </w:tblGrid>
      <w:tr w:rsidR="00B700E5" w:rsidRPr="007E5185" w:rsidTr="00EF760B">
        <w:trPr>
          <w:jc w:val="center"/>
        </w:trPr>
        <w:tc>
          <w:tcPr>
            <w:tcW w:w="1022" w:type="pct"/>
            <w:vMerge w:val="restart"/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COMPETIÇÕES FESPORTE</w:t>
            </w:r>
          </w:p>
        </w:tc>
        <w:tc>
          <w:tcPr>
            <w:tcW w:w="2358" w:type="pct"/>
            <w:gridSpan w:val="6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ETAPA ESTADUAL</w:t>
            </w:r>
          </w:p>
        </w:tc>
        <w:tc>
          <w:tcPr>
            <w:tcW w:w="1620" w:type="pct"/>
            <w:gridSpan w:val="4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ETAPA REGIONAL</w:t>
            </w:r>
          </w:p>
        </w:tc>
      </w:tr>
      <w:tr w:rsidR="00A53719" w:rsidRPr="007E5185" w:rsidTr="00EF760B">
        <w:trPr>
          <w:jc w:val="center"/>
        </w:trPr>
        <w:tc>
          <w:tcPr>
            <w:tcW w:w="1022" w:type="pct"/>
            <w:vMerge/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1º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2º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3º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4º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  <w:sz w:val="14"/>
              </w:rPr>
              <w:t xml:space="preserve">PART </w:t>
            </w:r>
            <w:r w:rsidRPr="00EF760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1º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2º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3º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b/>
              </w:rPr>
              <w:t xml:space="preserve">4º </w:t>
            </w:r>
            <w:r w:rsidRPr="00EF760B">
              <w:rPr>
                <w:rFonts w:asciiTheme="minorHAnsi" w:hAnsiTheme="minorHAnsi" w:cstheme="minorHAnsi"/>
                <w:b/>
                <w:sz w:val="16"/>
                <w:szCs w:val="16"/>
              </w:rPr>
              <w:t>LUGAR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  <w:sz w:val="20"/>
                <w:szCs w:val="20"/>
              </w:rPr>
              <w:t>PART*</w:t>
            </w:r>
            <w:r w:rsidRPr="00EF76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53719" w:rsidRPr="007E5185" w:rsidTr="00EF760B">
        <w:trPr>
          <w:jc w:val="center"/>
        </w:trPr>
        <w:tc>
          <w:tcPr>
            <w:tcW w:w="1022" w:type="pct"/>
            <w:vMerge/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760B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</w:p>
        </w:tc>
      </w:tr>
      <w:tr w:rsidR="00A53719" w:rsidRPr="007E5185" w:rsidTr="00EF760B">
        <w:trPr>
          <w:trHeight w:val="283"/>
          <w:jc w:val="center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JASC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  <w:tr w:rsidR="00A53719" w:rsidRPr="007E5185" w:rsidTr="00EF760B">
        <w:trPr>
          <w:trHeight w:val="283"/>
          <w:jc w:val="center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PARAJASC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  <w:tr w:rsidR="00A53719" w:rsidRPr="007E5185" w:rsidTr="00EF760B">
        <w:trPr>
          <w:trHeight w:val="283"/>
          <w:jc w:val="center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  <w:sz w:val="16"/>
              </w:rPr>
              <w:t>JOGUINHOS ABERTOS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  <w:tr w:rsidR="00A53719" w:rsidRPr="007E5185" w:rsidTr="00EF760B">
        <w:trPr>
          <w:trHeight w:val="283"/>
          <w:jc w:val="center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OLESC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  <w:tr w:rsidR="00A53719" w:rsidRPr="007E5185" w:rsidTr="00EF760B">
        <w:trPr>
          <w:trHeight w:val="283"/>
          <w:jc w:val="center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lastRenderedPageBreak/>
              <w:t>PARAJESC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E5" w:rsidRPr="00EF760B" w:rsidRDefault="00B700E5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</w:tbl>
    <w:p w:rsidR="00B700E5" w:rsidRPr="007E5185" w:rsidRDefault="00B700E5" w:rsidP="00B700E5">
      <w:pPr>
        <w:spacing w:before="0" w:after="0" w:line="240" w:lineRule="auto"/>
        <w:rPr>
          <w:rFonts w:asciiTheme="minorHAnsi" w:hAnsiTheme="minorHAnsi" w:cstheme="minorHAnsi"/>
        </w:rPr>
      </w:pPr>
    </w:p>
    <w:p w:rsidR="00B700E5" w:rsidRPr="007E5185" w:rsidRDefault="00B700E5" w:rsidP="00B700E5">
      <w:pPr>
        <w:pStyle w:val="PargrafodaLista"/>
        <w:numPr>
          <w:ilvl w:val="0"/>
          <w:numId w:val="26"/>
        </w:numPr>
        <w:spacing w:before="0" w:after="12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9144F9">
        <w:rPr>
          <w:rFonts w:asciiTheme="minorHAnsi" w:hAnsiTheme="minorHAnsi" w:cstheme="minorHAnsi"/>
          <w:b/>
          <w:sz w:val="24"/>
        </w:rPr>
        <w:t xml:space="preserve">SERÁ CONSIDERADO </w:t>
      </w:r>
      <w:r w:rsidR="004552A3" w:rsidRPr="00E65A5E">
        <w:rPr>
          <w:rFonts w:asciiTheme="minorHAnsi" w:hAnsiTheme="minorHAnsi" w:cstheme="minorHAnsi"/>
          <w:b/>
          <w:sz w:val="24"/>
          <w:u w:val="single"/>
        </w:rPr>
        <w:t>O MELHOR RESULTADO</w:t>
      </w:r>
      <w:r w:rsidRPr="009144F9">
        <w:rPr>
          <w:rFonts w:asciiTheme="minorHAnsi" w:hAnsiTheme="minorHAnsi" w:cstheme="minorHAnsi"/>
          <w:b/>
          <w:sz w:val="24"/>
        </w:rPr>
        <w:t xml:space="preserve"> NOS EVENTOS DE ABRA</w:t>
      </w:r>
      <w:r w:rsidR="00E65A5E">
        <w:rPr>
          <w:rFonts w:asciiTheme="minorHAnsi" w:hAnsiTheme="minorHAnsi" w:cstheme="minorHAnsi"/>
          <w:b/>
          <w:sz w:val="24"/>
        </w:rPr>
        <w:t>NGÊNCIA REGIONAL A MUNDIAL</w:t>
      </w:r>
      <w:r w:rsidRPr="009144F9">
        <w:rPr>
          <w:rFonts w:asciiTheme="minorHAnsi" w:hAnsiTheme="minorHAnsi" w:cstheme="minorHAnsi"/>
          <w:b/>
          <w:sz w:val="24"/>
        </w:rPr>
        <w:t>,</w:t>
      </w:r>
      <w:r w:rsidRPr="009144F9">
        <w:rPr>
          <w:rFonts w:asciiTheme="minorHAnsi" w:hAnsiTheme="minorHAnsi" w:cstheme="minorHAnsi"/>
          <w:sz w:val="24"/>
        </w:rPr>
        <w:t xml:space="preserve"> conforme tabela abaixo, no ano anterior aquele que estiver sido pleiteado a concessão da bola (202</w:t>
      </w:r>
      <w:r>
        <w:rPr>
          <w:rFonts w:asciiTheme="minorHAnsi" w:hAnsiTheme="minorHAnsi" w:cstheme="minorHAnsi"/>
          <w:sz w:val="24"/>
        </w:rPr>
        <w:t>3</w:t>
      </w:r>
      <w:r w:rsidRPr="009144F9">
        <w:rPr>
          <w:rFonts w:asciiTheme="minorHAnsi" w:hAnsiTheme="minorHAnsi" w:cstheme="minorHAnsi"/>
          <w:sz w:val="24"/>
        </w:rPr>
        <w:t xml:space="preserve">). Para fins de comprovação da abrangência, serão consideradas aquelas competições chanceladas e/ou organizadas pelas respectivas Confederações, Federações ou Ligas Esportivas Regionais ou Estaduais na respectiva modalidade. Será considerado </w:t>
      </w:r>
      <w:r w:rsidR="004552A3">
        <w:rPr>
          <w:rFonts w:asciiTheme="minorHAnsi" w:hAnsiTheme="minorHAnsi" w:cstheme="minorHAnsi"/>
          <w:sz w:val="24"/>
        </w:rPr>
        <w:t xml:space="preserve">apenas </w:t>
      </w:r>
      <w:r w:rsidRPr="009144F9">
        <w:rPr>
          <w:rFonts w:asciiTheme="minorHAnsi" w:hAnsiTheme="minorHAnsi" w:cstheme="minorHAnsi"/>
          <w:sz w:val="24"/>
        </w:rPr>
        <w:t>o resultado final quando a competição for constituída de etapas classificatórias e etapa final.</w:t>
      </w:r>
    </w:p>
    <w:tbl>
      <w:tblPr>
        <w:tblW w:w="4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127"/>
        <w:gridCol w:w="1126"/>
        <w:gridCol w:w="1126"/>
        <w:gridCol w:w="1126"/>
        <w:gridCol w:w="1122"/>
      </w:tblGrid>
      <w:tr w:rsidR="00A53719" w:rsidRPr="007E5185" w:rsidTr="00EF760B">
        <w:trPr>
          <w:jc w:val="center"/>
        </w:trPr>
        <w:tc>
          <w:tcPr>
            <w:tcW w:w="1553" w:type="pct"/>
            <w:vMerge w:val="restart"/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ABRANGÊNCIA DA COMPETIÇÃO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1º LUGAR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2º LUGAR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3º LUGAR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4º LUGAR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760B">
              <w:rPr>
                <w:rFonts w:asciiTheme="minorHAnsi" w:hAnsiTheme="minorHAnsi" w:cstheme="minorHAnsi"/>
                <w:b/>
              </w:rPr>
              <w:t>PART*</w:t>
            </w:r>
          </w:p>
        </w:tc>
      </w:tr>
      <w:tr w:rsidR="00A53719" w:rsidRPr="007E5185" w:rsidTr="00EF760B">
        <w:trPr>
          <w:jc w:val="center"/>
        </w:trPr>
        <w:tc>
          <w:tcPr>
            <w:tcW w:w="1553" w:type="pct"/>
            <w:vMerge/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760B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760B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760B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760B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760B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</w:tr>
      <w:tr w:rsidR="00A53719" w:rsidRPr="007E5185" w:rsidTr="00EF760B">
        <w:trPr>
          <w:jc w:val="center"/>
        </w:trPr>
        <w:tc>
          <w:tcPr>
            <w:tcW w:w="1553" w:type="pct"/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MUNDIAL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EF760B">
              <w:rPr>
                <w:rFonts w:asciiTheme="minorHAnsi" w:hAnsiTheme="minorHAnsi" w:cstheme="minorHAnsi"/>
                <w:szCs w:val="18"/>
              </w:rPr>
              <w:t>20,0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EF760B">
              <w:rPr>
                <w:rFonts w:asciiTheme="minorHAnsi" w:hAnsiTheme="minorHAnsi" w:cstheme="minorHAnsi"/>
                <w:szCs w:val="18"/>
              </w:rPr>
              <w:t>19,0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EF760B">
              <w:rPr>
                <w:rFonts w:asciiTheme="minorHAnsi" w:hAnsiTheme="minorHAnsi" w:cstheme="minorHAnsi"/>
                <w:szCs w:val="18"/>
              </w:rPr>
              <w:t>18,0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EF760B">
              <w:rPr>
                <w:rFonts w:asciiTheme="minorHAnsi" w:hAnsiTheme="minorHAnsi" w:cstheme="minorHAnsi"/>
                <w:szCs w:val="18"/>
              </w:rPr>
              <w:t>17,0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EF760B">
              <w:rPr>
                <w:rFonts w:asciiTheme="minorHAnsi" w:hAnsiTheme="minorHAnsi" w:cstheme="minorHAnsi"/>
                <w:szCs w:val="18"/>
              </w:rPr>
              <w:t>15,0</w:t>
            </w:r>
          </w:p>
        </w:tc>
      </w:tr>
      <w:tr w:rsidR="00A53719" w:rsidRPr="007E5185" w:rsidTr="00EF760B">
        <w:trPr>
          <w:trHeight w:val="340"/>
          <w:jc w:val="center"/>
        </w:trPr>
        <w:tc>
          <w:tcPr>
            <w:tcW w:w="1553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INTERNACIONAL – SUL AMERICANO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16,0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14,0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13,0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</w:tr>
      <w:tr w:rsidR="00A53719" w:rsidRPr="007E5185" w:rsidTr="00EF760B">
        <w:trPr>
          <w:trHeight w:val="340"/>
          <w:jc w:val="center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12,0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11,0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6,0</w:t>
            </w:r>
          </w:p>
        </w:tc>
      </w:tr>
      <w:tr w:rsidR="00A53719" w:rsidRPr="007E5185" w:rsidTr="00EF760B">
        <w:trPr>
          <w:trHeight w:val="340"/>
          <w:jc w:val="center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ESTADUAL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</w:tr>
      <w:tr w:rsidR="00A53719" w:rsidRPr="007E5185" w:rsidTr="00EF760B">
        <w:trPr>
          <w:trHeight w:val="340"/>
          <w:jc w:val="center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REGIONAL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2A3" w:rsidRPr="00EF760B" w:rsidRDefault="004552A3" w:rsidP="00EF76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760B">
              <w:rPr>
                <w:rFonts w:asciiTheme="minorHAnsi" w:hAnsiTheme="minorHAnsi" w:cstheme="minorHAnsi"/>
              </w:rPr>
              <w:t>1,0</w:t>
            </w:r>
          </w:p>
        </w:tc>
      </w:tr>
    </w:tbl>
    <w:p w:rsidR="00B700E5" w:rsidRPr="007E5185" w:rsidRDefault="00B700E5" w:rsidP="00B700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PART – Participação na competição</w:t>
      </w:r>
    </w:p>
    <w:p w:rsidR="00B700E5" w:rsidRPr="009144F9" w:rsidRDefault="00B700E5" w:rsidP="00B700E5">
      <w:pPr>
        <w:rPr>
          <w:rFonts w:asciiTheme="minorHAnsi" w:hAnsiTheme="minorHAnsi" w:cstheme="minorHAnsi"/>
        </w:rPr>
      </w:pPr>
      <w:r w:rsidRPr="009144F9">
        <w:rPr>
          <w:rFonts w:asciiTheme="minorHAnsi" w:hAnsiTheme="minorHAnsi" w:cstheme="minorHAnsi"/>
        </w:rPr>
        <w:t>O</w:t>
      </w:r>
      <w:r w:rsidR="004552A3">
        <w:rPr>
          <w:rFonts w:asciiTheme="minorHAnsi" w:hAnsiTheme="minorHAnsi" w:cstheme="minorHAnsi"/>
        </w:rPr>
        <w:t xml:space="preserve">s valores das bolsas e o </w:t>
      </w:r>
      <w:r w:rsidRPr="009144F9">
        <w:rPr>
          <w:rFonts w:asciiTheme="minorHAnsi" w:hAnsiTheme="minorHAnsi" w:cstheme="minorHAnsi"/>
        </w:rPr>
        <w:t xml:space="preserve"> teto máximo destinado a cada modalidade será definido pela Fundação Municipal de Esportes e Lazer – FME</w:t>
      </w:r>
      <w:r w:rsidR="004552A3">
        <w:rPr>
          <w:rFonts w:asciiTheme="minorHAnsi" w:hAnsiTheme="minorHAnsi" w:cstheme="minorHAnsi"/>
        </w:rPr>
        <w:t>L e pela Comissão Especial de Seleção</w:t>
      </w:r>
      <w:r w:rsidRPr="009144F9">
        <w:rPr>
          <w:rFonts w:asciiTheme="minorHAnsi" w:hAnsiTheme="minorHAnsi" w:cstheme="minorHAnsi"/>
        </w:rPr>
        <w:t>,</w:t>
      </w:r>
      <w:r w:rsidR="004552A3">
        <w:rPr>
          <w:rFonts w:asciiTheme="minorHAnsi" w:hAnsiTheme="minorHAnsi" w:cstheme="minorHAnsi"/>
        </w:rPr>
        <w:t xml:space="preserve"> observando o desempenho técnico, resultados e demais critérios estabelecidos. Respeitando a disponibilidade orçamentária e </w:t>
      </w:r>
      <w:r w:rsidRPr="009144F9">
        <w:rPr>
          <w:rFonts w:asciiTheme="minorHAnsi" w:hAnsiTheme="minorHAnsi" w:cstheme="minorHAnsi"/>
        </w:rPr>
        <w:t>planejamento</w:t>
      </w:r>
      <w:r w:rsidR="004552A3">
        <w:rPr>
          <w:rFonts w:asciiTheme="minorHAnsi" w:hAnsiTheme="minorHAnsi" w:cstheme="minorHAnsi"/>
        </w:rPr>
        <w:t xml:space="preserve"> interno da FMEL</w:t>
      </w:r>
      <w:r w:rsidRPr="009144F9">
        <w:rPr>
          <w:rFonts w:asciiTheme="minorHAnsi" w:hAnsiTheme="minorHAnsi" w:cstheme="minorHAnsi"/>
        </w:rPr>
        <w:t>, visando às competições em que o município irá participar em 202</w:t>
      </w:r>
      <w:r>
        <w:rPr>
          <w:rFonts w:asciiTheme="minorHAnsi" w:hAnsiTheme="minorHAnsi" w:cstheme="minorHAnsi"/>
        </w:rPr>
        <w:t>4</w:t>
      </w:r>
      <w:r w:rsidR="004552A3">
        <w:rPr>
          <w:rFonts w:asciiTheme="minorHAnsi" w:hAnsiTheme="minorHAnsi" w:cstheme="minorHAnsi"/>
        </w:rPr>
        <w:t xml:space="preserve"> e em conformidade com os limites legais estabelecidos na Lei 3848 de 2018 e suas alterações;</w:t>
      </w:r>
    </w:p>
    <w:p w:rsidR="00B700E5" w:rsidRPr="007E5185" w:rsidRDefault="00B700E5" w:rsidP="00B700E5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Para fins de aferição da nota de cada interessado será considerada a nota alcançada.</w:t>
      </w:r>
    </w:p>
    <w:p w:rsidR="00B700E5" w:rsidRDefault="00B700E5" w:rsidP="00B700E5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Nesta fase a documentação será analisada para fins exclusivos de classificação no processo seletivo.</w:t>
      </w:r>
    </w:p>
    <w:p w:rsidR="00B700E5" w:rsidRPr="00107E6B" w:rsidRDefault="00B700E5" w:rsidP="00B700E5">
      <w:pPr>
        <w:spacing w:before="0" w:after="0" w:line="240" w:lineRule="auto"/>
        <w:rPr>
          <w:rFonts w:asciiTheme="minorHAnsi" w:hAnsiTheme="minorHAnsi" w:cstheme="minorHAnsi"/>
          <w:sz w:val="24"/>
        </w:rPr>
      </w:pPr>
      <w:r w:rsidRPr="00107E6B">
        <w:rPr>
          <w:rFonts w:asciiTheme="minorHAnsi" w:hAnsiTheme="minorHAnsi" w:cstheme="minorHAnsi"/>
          <w:sz w:val="24"/>
        </w:rPr>
        <w:t>Ocorrendo empate na pontuação para fins de classificação, aplicar-se- á para o</w:t>
      </w:r>
      <w:r>
        <w:rPr>
          <w:rFonts w:asciiTheme="minorHAnsi" w:hAnsiTheme="minorHAnsi" w:cstheme="minorHAnsi"/>
          <w:sz w:val="24"/>
        </w:rPr>
        <w:t xml:space="preserve"> </w:t>
      </w:r>
      <w:r w:rsidRPr="00107E6B">
        <w:rPr>
          <w:rFonts w:asciiTheme="minorHAnsi" w:hAnsiTheme="minorHAnsi" w:cstheme="minorHAnsi"/>
          <w:sz w:val="24"/>
        </w:rPr>
        <w:t>desempate, o disposto no parágrafo único do artigo 27 da Lei Federal 10.741/03, para os</w:t>
      </w:r>
      <w:r>
        <w:rPr>
          <w:rFonts w:asciiTheme="minorHAnsi" w:hAnsiTheme="minorHAnsi" w:cstheme="minorHAnsi"/>
          <w:sz w:val="24"/>
        </w:rPr>
        <w:t xml:space="preserve"> </w:t>
      </w:r>
      <w:r w:rsidRPr="00107E6B">
        <w:rPr>
          <w:rFonts w:asciiTheme="minorHAnsi" w:hAnsiTheme="minorHAnsi" w:cstheme="minorHAnsi"/>
          <w:sz w:val="24"/>
        </w:rPr>
        <w:t>candidatos que se enquadrarem na condição de idoso nos termos do Artigo 1º da mencionada</w:t>
      </w:r>
      <w:r>
        <w:rPr>
          <w:rFonts w:asciiTheme="minorHAnsi" w:hAnsiTheme="minorHAnsi" w:cstheme="minorHAnsi"/>
          <w:sz w:val="24"/>
        </w:rPr>
        <w:t xml:space="preserve"> </w:t>
      </w:r>
      <w:r w:rsidRPr="00107E6B">
        <w:rPr>
          <w:rFonts w:asciiTheme="minorHAnsi" w:hAnsiTheme="minorHAnsi" w:cstheme="minorHAnsi"/>
          <w:sz w:val="24"/>
        </w:rPr>
        <w:t>Lei (possuírem 60 anos completos ou mais). Para os candidatos que não estão ao amparo</w:t>
      </w:r>
      <w:r>
        <w:rPr>
          <w:rFonts w:asciiTheme="minorHAnsi" w:hAnsiTheme="minorHAnsi" w:cstheme="minorHAnsi"/>
          <w:sz w:val="24"/>
        </w:rPr>
        <w:t xml:space="preserve"> </w:t>
      </w:r>
      <w:r w:rsidRPr="00107E6B">
        <w:rPr>
          <w:rFonts w:asciiTheme="minorHAnsi" w:hAnsiTheme="minorHAnsi" w:cstheme="minorHAnsi"/>
          <w:sz w:val="24"/>
        </w:rPr>
        <w:t>citado anteriormente, o desempate beneficiará, sucessivamente, o candidato que:</w:t>
      </w:r>
    </w:p>
    <w:p w:rsidR="00B700E5" w:rsidRPr="00DA7890" w:rsidRDefault="00B700E5" w:rsidP="00B700E5">
      <w:pPr>
        <w:pStyle w:val="PargrafodaLista"/>
        <w:numPr>
          <w:ilvl w:val="4"/>
          <w:numId w:val="39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DA7890">
        <w:rPr>
          <w:rFonts w:asciiTheme="minorHAnsi" w:hAnsiTheme="minorHAnsi" w:cstheme="minorHAnsi"/>
          <w:sz w:val="24"/>
        </w:rPr>
        <w:t>Candidato com maior quantidade de 1º lugar na modalidade esportiva</w:t>
      </w:r>
      <w:r>
        <w:rPr>
          <w:rFonts w:asciiTheme="minorHAnsi" w:hAnsiTheme="minorHAnsi" w:cstheme="minorHAnsi"/>
          <w:sz w:val="24"/>
        </w:rPr>
        <w:t xml:space="preserve"> </w:t>
      </w:r>
      <w:r w:rsidRPr="00DA7890">
        <w:rPr>
          <w:rFonts w:asciiTheme="minorHAnsi" w:hAnsiTheme="minorHAnsi" w:cstheme="minorHAnsi"/>
          <w:sz w:val="24"/>
        </w:rPr>
        <w:t>pleiteada;</w:t>
      </w:r>
    </w:p>
    <w:p w:rsidR="00B700E5" w:rsidRPr="00DA7890" w:rsidRDefault="00B700E5" w:rsidP="00B700E5">
      <w:pPr>
        <w:pStyle w:val="PargrafodaLista"/>
        <w:numPr>
          <w:ilvl w:val="4"/>
          <w:numId w:val="39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DA7890">
        <w:rPr>
          <w:rFonts w:asciiTheme="minorHAnsi" w:hAnsiTheme="minorHAnsi" w:cstheme="minorHAnsi"/>
          <w:sz w:val="24"/>
        </w:rPr>
        <w:t>Candidato com maior quantidade de 2º lugar na modalidade esportiva pleiteada;</w:t>
      </w:r>
    </w:p>
    <w:p w:rsidR="00B700E5" w:rsidRPr="00DA7890" w:rsidRDefault="00B700E5" w:rsidP="00B700E5">
      <w:pPr>
        <w:pStyle w:val="PargrafodaLista"/>
        <w:numPr>
          <w:ilvl w:val="2"/>
          <w:numId w:val="31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DA7890">
        <w:rPr>
          <w:rFonts w:asciiTheme="minorHAnsi" w:hAnsiTheme="minorHAnsi" w:cstheme="minorHAnsi"/>
          <w:sz w:val="24"/>
        </w:rPr>
        <w:t>Candidato com maior quantidade de 3º lugar na modalidade esportiva</w:t>
      </w:r>
      <w:r>
        <w:rPr>
          <w:rFonts w:asciiTheme="minorHAnsi" w:hAnsiTheme="minorHAnsi" w:cstheme="minorHAnsi"/>
          <w:sz w:val="24"/>
        </w:rPr>
        <w:t xml:space="preserve"> </w:t>
      </w:r>
      <w:r w:rsidRPr="00DA7890">
        <w:rPr>
          <w:rFonts w:asciiTheme="minorHAnsi" w:hAnsiTheme="minorHAnsi" w:cstheme="minorHAnsi"/>
          <w:sz w:val="24"/>
        </w:rPr>
        <w:t>pleiteada;</w:t>
      </w:r>
    </w:p>
    <w:p w:rsidR="00B700E5" w:rsidRPr="00107E6B" w:rsidRDefault="00B700E5" w:rsidP="00B700E5">
      <w:pPr>
        <w:pStyle w:val="PargrafodaLista"/>
        <w:numPr>
          <w:ilvl w:val="2"/>
          <w:numId w:val="31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107E6B">
        <w:rPr>
          <w:rFonts w:asciiTheme="minorHAnsi" w:hAnsiTheme="minorHAnsi" w:cstheme="minorHAnsi"/>
          <w:sz w:val="24"/>
        </w:rPr>
        <w:t xml:space="preserve">Candidato com maior quantidade de </w:t>
      </w:r>
      <w:r>
        <w:rPr>
          <w:rFonts w:asciiTheme="minorHAnsi" w:hAnsiTheme="minorHAnsi" w:cstheme="minorHAnsi"/>
          <w:sz w:val="24"/>
        </w:rPr>
        <w:t>4</w:t>
      </w:r>
      <w:r w:rsidRPr="00107E6B">
        <w:rPr>
          <w:rFonts w:asciiTheme="minorHAnsi" w:hAnsiTheme="minorHAnsi" w:cstheme="minorHAnsi"/>
          <w:sz w:val="24"/>
        </w:rPr>
        <w:t>º lugar, na modalidade esportiva</w:t>
      </w:r>
      <w:r>
        <w:rPr>
          <w:rFonts w:asciiTheme="minorHAnsi" w:hAnsiTheme="minorHAnsi" w:cstheme="minorHAnsi"/>
          <w:sz w:val="24"/>
        </w:rPr>
        <w:t xml:space="preserve"> </w:t>
      </w:r>
      <w:r w:rsidRPr="00107E6B">
        <w:rPr>
          <w:rFonts w:asciiTheme="minorHAnsi" w:hAnsiTheme="minorHAnsi" w:cstheme="minorHAnsi"/>
          <w:sz w:val="24"/>
        </w:rPr>
        <w:t>pleiteada;</w:t>
      </w:r>
    </w:p>
    <w:p w:rsidR="00B700E5" w:rsidRPr="00107E6B" w:rsidRDefault="00B700E5" w:rsidP="00B700E5">
      <w:pPr>
        <w:pStyle w:val="PargrafodaLista"/>
        <w:numPr>
          <w:ilvl w:val="2"/>
          <w:numId w:val="31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107E6B">
        <w:rPr>
          <w:rFonts w:asciiTheme="minorHAnsi" w:hAnsiTheme="minorHAnsi" w:cstheme="minorHAnsi"/>
          <w:sz w:val="24"/>
        </w:rPr>
        <w:t>Candidato de maior idade</w:t>
      </w:r>
      <w:r>
        <w:rPr>
          <w:rFonts w:asciiTheme="minorHAnsi" w:hAnsiTheme="minorHAnsi" w:cstheme="minorHAnsi"/>
          <w:sz w:val="24"/>
        </w:rPr>
        <w:t>;</w:t>
      </w:r>
      <w:r w:rsidRPr="00107E6B">
        <w:rPr>
          <w:rFonts w:asciiTheme="minorHAnsi" w:hAnsiTheme="minorHAnsi" w:cstheme="minorHAnsi"/>
          <w:sz w:val="24"/>
        </w:rPr>
        <w:t xml:space="preserve"> </w:t>
      </w:r>
    </w:p>
    <w:p w:rsidR="00B700E5" w:rsidRPr="00FD0627" w:rsidRDefault="00B700E5" w:rsidP="00B700E5">
      <w:pPr>
        <w:pStyle w:val="PargrafodaLista"/>
        <w:numPr>
          <w:ilvl w:val="2"/>
          <w:numId w:val="31"/>
        </w:numPr>
        <w:spacing w:before="0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FD0627">
        <w:rPr>
          <w:rFonts w:asciiTheme="minorHAnsi" w:hAnsiTheme="minorHAnsi" w:cstheme="minorHAnsi"/>
          <w:sz w:val="24"/>
        </w:rPr>
        <w:t>Será efetuado sorteio.</w:t>
      </w:r>
    </w:p>
    <w:p w:rsidR="00B700E5" w:rsidRPr="00B700E5" w:rsidRDefault="00B700E5" w:rsidP="00B700E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B700E5" w:rsidRPr="00B700E5" w:rsidRDefault="00B700E5" w:rsidP="00B700E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  <w:r w:rsidRPr="00B700E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3ª fase - Entrega documental e divulgação dos </w:t>
      </w:r>
      <w:r w:rsidR="004650AC" w:rsidRPr="00B700E5">
        <w:rPr>
          <w:rFonts w:asciiTheme="minorHAnsi" w:hAnsiTheme="minorHAnsi" w:cstheme="minorHAnsi"/>
          <w:b/>
          <w:sz w:val="24"/>
          <w:szCs w:val="24"/>
        </w:rPr>
        <w:t>resultados:</w:t>
      </w:r>
      <w:r w:rsidRPr="00B700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00E5">
        <w:rPr>
          <w:rFonts w:asciiTheme="minorHAnsi" w:hAnsiTheme="minorHAnsi" w:cstheme="minorHAnsi"/>
          <w:sz w:val="24"/>
          <w:szCs w:val="24"/>
        </w:rPr>
        <w:t xml:space="preserve">Os candidatos serão convocados, conforme classificação preliminar, </w:t>
      </w:r>
      <w:r w:rsidR="004650AC">
        <w:rPr>
          <w:rFonts w:asciiTheme="minorHAnsi" w:hAnsiTheme="minorHAnsi" w:cstheme="minorHAnsi"/>
          <w:sz w:val="24"/>
          <w:szCs w:val="24"/>
        </w:rPr>
        <w:t>à</w:t>
      </w:r>
      <w:r w:rsidRPr="00B700E5">
        <w:rPr>
          <w:rFonts w:asciiTheme="minorHAnsi" w:hAnsiTheme="minorHAnsi" w:cstheme="minorHAnsi"/>
          <w:sz w:val="24"/>
          <w:szCs w:val="24"/>
        </w:rPr>
        <w:t xml:space="preserve"> apresentar os documentos comprobatórios diretamente na sede da Fundação Municipal de Esportes e Lazer, localizada na Rua Augusto Beduschi, Nº87, 3º andar. </w:t>
      </w:r>
      <w:r w:rsidRPr="00B700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3DA2">
        <w:rPr>
          <w:rFonts w:asciiTheme="minorHAnsi" w:hAnsiTheme="minorHAnsi" w:cstheme="minorHAnsi"/>
          <w:sz w:val="24"/>
          <w:szCs w:val="24"/>
        </w:rPr>
        <w:t>O resultado</w:t>
      </w:r>
      <w:r w:rsidRPr="00B700E5">
        <w:rPr>
          <w:rFonts w:asciiTheme="minorHAnsi" w:hAnsiTheme="minorHAnsi" w:cstheme="minorHAnsi"/>
          <w:sz w:val="24"/>
          <w:szCs w:val="24"/>
        </w:rPr>
        <w:t xml:space="preserve"> final das solicitações </w:t>
      </w:r>
      <w:r w:rsidR="002E3DA2" w:rsidRPr="00B700E5">
        <w:rPr>
          <w:rFonts w:asciiTheme="minorHAnsi" w:hAnsiTheme="minorHAnsi" w:cstheme="minorHAnsi"/>
          <w:sz w:val="24"/>
          <w:szCs w:val="24"/>
        </w:rPr>
        <w:t>será publicado</w:t>
      </w:r>
      <w:r w:rsidRPr="00B700E5">
        <w:rPr>
          <w:rFonts w:asciiTheme="minorHAnsi" w:hAnsiTheme="minorHAnsi" w:cstheme="minorHAnsi"/>
          <w:sz w:val="24"/>
          <w:szCs w:val="24"/>
        </w:rPr>
        <w:t xml:space="preserve"> conforme cronograma, no endereço eletrônico oficial (</w:t>
      </w:r>
      <w:hyperlink r:id="rId10" w:history="1">
        <w:r w:rsidRPr="00B700E5">
          <w:rPr>
            <w:rStyle w:val="Hyperlink"/>
            <w:rFonts w:asciiTheme="minorHAnsi" w:hAnsiTheme="minorHAnsi" w:cstheme="minorHAnsi"/>
            <w:sz w:val="24"/>
            <w:szCs w:val="24"/>
          </w:rPr>
          <w:t>www.gaspar.sc.gov.br</w:t>
        </w:r>
      </w:hyperlink>
      <w:r w:rsidRPr="00B700E5">
        <w:rPr>
          <w:rFonts w:asciiTheme="minorHAnsi" w:hAnsiTheme="minorHAnsi" w:cstheme="minorHAnsi"/>
          <w:sz w:val="24"/>
          <w:szCs w:val="24"/>
        </w:rPr>
        <w:t>).</w:t>
      </w:r>
    </w:p>
    <w:p w:rsidR="00B700E5" w:rsidRPr="00C2548B" w:rsidRDefault="00B700E5" w:rsidP="00C2548B">
      <w:pPr>
        <w:pStyle w:val="PargrafodaLista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:rsidR="007A3BD4" w:rsidRPr="007E5185" w:rsidRDefault="00577DDA" w:rsidP="00577DDA">
      <w:pPr>
        <w:spacing w:before="0" w:after="120" w:line="240" w:lineRule="auto"/>
        <w:rPr>
          <w:rFonts w:asciiTheme="minorHAnsi" w:hAnsiTheme="minorHAnsi" w:cstheme="minorHAnsi"/>
          <w:b/>
          <w:sz w:val="24"/>
        </w:rPr>
      </w:pPr>
      <w:r w:rsidRPr="007E5185">
        <w:rPr>
          <w:rFonts w:asciiTheme="minorHAnsi" w:hAnsiTheme="minorHAnsi" w:cstheme="minorHAnsi"/>
          <w:b/>
          <w:sz w:val="24"/>
        </w:rPr>
        <w:t>DOS RECURSOS ADMINISTRATIVOS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Os interessados poderão interpor recurso administrativo contra os seguintes atos da Comissão Especial: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a) Eliminação do Processo Seletivo;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b) Classificação no Processo Seletivo;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 xml:space="preserve">Os recursos deverão ser apresentados </w:t>
      </w:r>
      <w:r w:rsidR="004552A3">
        <w:rPr>
          <w:rFonts w:asciiTheme="minorHAnsi" w:hAnsiTheme="minorHAnsi" w:cstheme="minorHAnsi"/>
          <w:sz w:val="24"/>
        </w:rPr>
        <w:t>dentro do prazo estabelecido no cronograma do edital</w:t>
      </w:r>
      <w:r w:rsidR="00232FE7">
        <w:rPr>
          <w:rFonts w:asciiTheme="minorHAnsi" w:hAnsiTheme="minorHAnsi" w:cstheme="minorHAnsi"/>
          <w:sz w:val="24"/>
        </w:rPr>
        <w:t xml:space="preserve">. </w:t>
      </w:r>
      <w:r w:rsidRPr="007E5185">
        <w:rPr>
          <w:rFonts w:asciiTheme="minorHAnsi" w:hAnsiTheme="minorHAnsi" w:cstheme="minorHAnsi"/>
          <w:sz w:val="24"/>
        </w:rPr>
        <w:t>Os recursos terão efeito devolutivo, e deverão ser direcionados ao Presidente da Comissão Especial.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Impetrado o recurso o mesmo será analisado pela Comissão Especial, a qual analisará sua tempestividade, legitimidade e o mérito.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A Comissão Especial poderá acolher o recurso e alterar sua decisão ou ainda manter a decisão. Em ambos os casos a decisão deverá ser fundamentada.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Caso não seja acolhido o recurso pela Comissão Especial, o mesmo será encaminhado ao Diretor</w:t>
      </w:r>
      <w:r w:rsidR="00577DDA" w:rsidRPr="007E5185">
        <w:rPr>
          <w:rFonts w:asciiTheme="minorHAnsi" w:hAnsiTheme="minorHAnsi" w:cstheme="minorHAnsi"/>
          <w:sz w:val="24"/>
        </w:rPr>
        <w:t>-</w:t>
      </w:r>
      <w:r w:rsidRPr="007E5185">
        <w:rPr>
          <w:rFonts w:asciiTheme="minorHAnsi" w:hAnsiTheme="minorHAnsi" w:cstheme="minorHAnsi"/>
          <w:sz w:val="24"/>
        </w:rPr>
        <w:t>Presidente da FMEL, o qual decidirá em última instância sobre o recurso.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Não serão conhecidos recursos intempestivos ou apresentados por pessoa que não tem legitimidade.</w:t>
      </w:r>
    </w:p>
    <w:p w:rsidR="007A3BD4" w:rsidRPr="007E5185" w:rsidRDefault="007A3BD4" w:rsidP="00577DDA">
      <w:pPr>
        <w:spacing w:before="0" w:after="120" w:line="240" w:lineRule="auto"/>
        <w:rPr>
          <w:rFonts w:asciiTheme="minorHAnsi" w:hAnsiTheme="minorHAnsi" w:cstheme="minorHAnsi"/>
          <w:sz w:val="28"/>
          <w:szCs w:val="24"/>
        </w:rPr>
      </w:pPr>
    </w:p>
    <w:p w:rsidR="007A3BD4" w:rsidRPr="007E5185" w:rsidRDefault="007A3BD4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F497D" w:rsidRPr="007E5185" w:rsidRDefault="004F497D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F497D" w:rsidRPr="007E5185" w:rsidRDefault="004F497D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F497D" w:rsidRPr="007E5185" w:rsidRDefault="004F497D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F497D" w:rsidRDefault="004F497D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9144F9" w:rsidRDefault="009144F9" w:rsidP="00FD5C8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B30AB7" w:rsidRDefault="00B30AB7" w:rsidP="00D8286F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261B5" w:rsidRDefault="006261B5" w:rsidP="00404977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261B5" w:rsidRDefault="006261B5" w:rsidP="00404977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675CD" w:rsidRDefault="001675CD" w:rsidP="007E5185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FD0627" w:rsidRDefault="00FD0627" w:rsidP="007E5185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sectPr w:rsidR="00FD0627" w:rsidSect="00D8286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55" w:rsidRDefault="007C0F55" w:rsidP="00B53A46">
      <w:pPr>
        <w:spacing w:after="0" w:line="240" w:lineRule="auto"/>
      </w:pPr>
      <w:r>
        <w:separator/>
      </w:r>
    </w:p>
  </w:endnote>
  <w:endnote w:type="continuationSeparator" w:id="1">
    <w:p w:rsidR="007C0F55" w:rsidRDefault="007C0F55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9643B0">
    <w:pPr>
      <w:pStyle w:val="Rodap"/>
      <w:jc w:val="right"/>
    </w:pPr>
    <w:fldSimple w:instr=" PAGE   \* MERGEFORMAT ">
      <w:r w:rsidR="00282FC0">
        <w:rPr>
          <w:noProof/>
        </w:rPr>
        <w:t>2</w:t>
      </w:r>
    </w:fldSimple>
  </w:p>
  <w:p w:rsidR="003D1DF0" w:rsidRDefault="003D1DF0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3D1DF0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55" w:rsidRDefault="007C0F55" w:rsidP="00B53A46">
      <w:pPr>
        <w:spacing w:after="0" w:line="240" w:lineRule="auto"/>
      </w:pPr>
      <w:r>
        <w:separator/>
      </w:r>
    </w:p>
  </w:footnote>
  <w:footnote w:type="continuationSeparator" w:id="1">
    <w:p w:rsidR="007C0F55" w:rsidRDefault="007C0F55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9643B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9643B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2FC0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0F55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43B0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712E"/>
    <w:rsid w:val="00D8286F"/>
    <w:rsid w:val="00D84C3C"/>
    <w:rsid w:val="00D84E3F"/>
    <w:rsid w:val="00D9032A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spar.sc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aspar.sc.gov.br/fmel/bolsa-tecnico-e-bolsa-atleta/inscricao-para-bolsa-tecnico-e-auxiliar-tecnic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2024-03-01T10:56:00Z</dcterms:created>
  <dcterms:modified xsi:type="dcterms:W3CDTF">2024-03-01T10:56:00Z</dcterms:modified>
</cp:coreProperties>
</file>