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- QUADRO DE VALORES BOLSA ATLETA 2025.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38"/>
        <w:gridCol w:w="880"/>
        <w:gridCol w:w="2420"/>
        <w:tblGridChange w:id="0">
          <w:tblGrid>
            <w:gridCol w:w="5938"/>
            <w:gridCol w:w="880"/>
            <w:gridCol w:w="242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BOLSA AMADOR/FESPORTE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MODALIDADES CONTEMPLADAS NESTA CATEGORIA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ENTIDADE PARCEIRA FMEL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VOLEIBOL MASCULINO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AEEG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VOLEIBOL FEMININO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AEEG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FUTSAL FEMININO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AGAEF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BASQUETEBOL MASCULINO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AIBG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ATLETISMO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JUDÔ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KODOKAN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JIUJITSU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SKATE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 DEFINIDO CONSIDERANDO INDICAÇÃO TÉCNICA + RESULTADO COMPROVADO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BOLSA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COMPETIÇÃO NÍVEL: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REGIONAL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R$ 200,00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COMPETIÇÃO NÍVEL: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REGIONAL FEDERAÇÃO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R$ 220,00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COMPETIÇÃO NÍVEL: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REGIONAL FESPORTE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R$ 230,00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COMPETIÇÃO NÍVEL: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ESTADUAL FEDERAÇÃO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R$ 240,00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PARTICIPAÇÃO COMPETIÇÃO NÍVEL: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ESTADUAL FESPORTE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R$ 250,00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627"/>
        <w:gridCol w:w="1563"/>
        <w:gridCol w:w="300"/>
        <w:gridCol w:w="1627"/>
        <w:gridCol w:w="1923"/>
        <w:tblGridChange w:id="0">
          <w:tblGrid>
            <w:gridCol w:w="2198"/>
            <w:gridCol w:w="1627"/>
            <w:gridCol w:w="1563"/>
            <w:gridCol w:w="300"/>
            <w:gridCol w:w="1627"/>
            <w:gridCol w:w="1923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BOLSA PÓDIO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MODALIDADES CONTEMPLADAS NESTA CATEGORIA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ENTIDADE PARCEIRA FMEL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BOCHA PARALÍMPICA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AVI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NATAÇÃO PARALÍMPICA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AVI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ATLETISMO PARALÍMPICO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AVI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JIUJITSU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SKATE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CICLISMO BMX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CORRIDA DE AVENTURA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DEFINIDO CONSIDERANDO RESULTADO FINAL E DEMAIS CRITÉRIOS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NÍVEL BOLSA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1º COLOCADO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2º COLOCADO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3º COLOCADO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PARTICIPAÇÃO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4º à 10º COLOCAÇÃO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ESTADUAL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R$ 450,00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R$ 400,00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R$ 350,00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R$ 550,00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R$ 450,00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R$ 400,00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R$ 650,00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R$ 600,00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R$ 550,00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R$ 500,00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MUNDIAL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R$ 850,00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R$ 750,00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R$ 650,00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R$ 600,00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4" w:top="2098" w:left="1701" w:right="1134" w:header="709" w:footer="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Fundação Municipal de Esportes e Lazer | CNPJ: 05.322.930/0001-85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-333374</wp:posOffset>
          </wp:positionV>
          <wp:extent cx="4391978" cy="114452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6371" r="-14006" t="0"/>
                  <a:stretch>
                    <a:fillRect/>
                  </a:stretch>
                </pic:blipFill>
                <pic:spPr>
                  <a:xfrm>
                    <a:off x="0" y="0"/>
                    <a:ext cx="4391978" cy="1144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36B"/>
    <w:pPr>
      <w:spacing w:after="200" w:before="240" w:line="276" w:lineRule="auto"/>
      <w:jc w:val="both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990D0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03917"/>
    <w:pPr>
      <w:spacing w:after="0" w:line="240" w:lineRule="auto"/>
      <w:ind w:left="720"/>
      <w:contextualSpacing w:val="1"/>
    </w:pPr>
  </w:style>
  <w:style w:type="paragraph" w:styleId="Default" w:customStyle="1">
    <w:name w:val="Default"/>
    <w:rsid w:val="00BA5532"/>
    <w:pPr>
      <w:autoSpaceDE w:val="0"/>
      <w:autoSpaceDN w:val="0"/>
      <w:adjustRightInd w:val="0"/>
      <w:spacing w:after="120" w:before="240"/>
      <w:jc w:val="both"/>
    </w:pPr>
    <w:rPr>
      <w:rFonts w:ascii="Book Antiqua" w:cs="Book Antiqua" w:hAnsi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89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89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89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89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C78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C7894"/>
    <w:rPr>
      <w:rFonts w:ascii="Tahoma" w:cs="Tahoma" w:hAnsi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3A4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3A4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 w:val="1"/>
    <w:rsid w:val="00FA4DE0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56535F"/>
    <w:rPr>
      <w:sz w:val="22"/>
      <w:szCs w:val="22"/>
      <w:lang w:eastAsia="en-US"/>
    </w:rPr>
  </w:style>
  <w:style w:type="character" w:styleId="fontstyle01" w:customStyle="1">
    <w:name w:val="fontstyle01"/>
    <w:basedOn w:val="Fontepargpadro"/>
    <w:rsid w:val="005F5E24"/>
    <w:rPr>
      <w:rFonts w:ascii="Calibri" w:cs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30A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x2PTYd3CdJMwNeHbBrKe29JVeg==">CgMxLjA4AHIhMXY2eEQ2cHZUM2xUZVMxYmR2dWVDdERmSGpXaTJBT0F1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2025-02-13T13:25:00Z</dcterms:created>
  <dc:creator>fme</dc:creator>
</cp:coreProperties>
</file>